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0" w:rsidRDefault="001A2A50" w:rsidP="000269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67752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1" name="Рисунок 1" descr="C:\Documents and Settings\Admin.MICROSOF-D96E62\Рабочий стол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96E62\Рабочий стол\img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53D" w:rsidRDefault="00B5253D" w:rsidP="001A2A5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3D5" w:rsidRPr="005463D5" w:rsidRDefault="005463D5" w:rsidP="000269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463D5" w:rsidRPr="007500AE" w:rsidRDefault="005463D5" w:rsidP="007500A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учебному плану </w:t>
      </w:r>
      <w:r w:rsidR="00B5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</w:t>
      </w:r>
      <w:proofErr w:type="spellStart"/>
      <w:r w:rsidR="00B5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Чечеульский</w:t>
      </w:r>
      <w:proofErr w:type="spellEnd"/>
      <w:r w:rsidR="00B52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сад»</w:t>
      </w:r>
    </w:p>
    <w:p w:rsidR="00B5253D" w:rsidRPr="006544F6" w:rsidRDefault="00B5253D" w:rsidP="007500AE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основания составления учебного плана образовательной деятельности</w:t>
      </w:r>
    </w:p>
    <w:p w:rsidR="007500AE" w:rsidRPr="006544F6" w:rsidRDefault="00B5253D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Учебный план МБДОУ «</w:t>
      </w:r>
      <w:proofErr w:type="spellStart"/>
      <w:r w:rsidRPr="006544F6">
        <w:rPr>
          <w:rFonts w:ascii="Times New Roman" w:hAnsi="Times New Roman" w:cs="Times New Roman"/>
          <w:sz w:val="28"/>
          <w:szCs w:val="28"/>
          <w:lang w:eastAsia="ru-RU"/>
        </w:rPr>
        <w:t>Чечеульский</w:t>
      </w:r>
      <w:proofErr w:type="spellEnd"/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(далее – ДОУ) на 2</w:t>
      </w:r>
      <w:r w:rsidR="00B52300">
        <w:rPr>
          <w:rFonts w:ascii="Times New Roman" w:hAnsi="Times New Roman" w:cs="Times New Roman"/>
          <w:sz w:val="28"/>
          <w:szCs w:val="28"/>
          <w:lang w:eastAsia="ru-RU"/>
        </w:rPr>
        <w:t>019 – 2020 учебный год разработан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следующими законодательными актами и нормативными документами: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29.12.2012 №273-ФЗ «Об образовании в Российской Федерации»;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от 17.10.2013 года;</w:t>
      </w:r>
    </w:p>
    <w:p w:rsidR="005463D5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6544F6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52300" w:rsidRPr="006544F6" w:rsidRDefault="00B52300" w:rsidP="00B52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2014 год;</w:t>
      </w:r>
    </w:p>
    <w:p w:rsidR="00026908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544F6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«Санитарно — эпидемиологические требования к устройству, содержанию и организации режима рабо</w:t>
      </w:r>
      <w:r w:rsidR="007500AE" w:rsidRPr="006544F6">
        <w:rPr>
          <w:rFonts w:ascii="Times New Roman" w:hAnsi="Times New Roman" w:cs="Times New Roman"/>
          <w:sz w:val="28"/>
          <w:szCs w:val="28"/>
          <w:lang w:eastAsia="ru-RU"/>
        </w:rPr>
        <w:t>ты в ДОУ» от 15.05.2013. № 26.</w:t>
      </w:r>
    </w:p>
    <w:p w:rsidR="007500AE" w:rsidRPr="006544F6" w:rsidRDefault="007500AE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Устав МБДОУ «</w:t>
      </w:r>
      <w:proofErr w:type="spellStart"/>
      <w:r w:rsidRPr="006544F6">
        <w:rPr>
          <w:rFonts w:ascii="Times New Roman" w:hAnsi="Times New Roman" w:cs="Times New Roman"/>
          <w:sz w:val="28"/>
          <w:szCs w:val="28"/>
          <w:lang w:eastAsia="ru-RU"/>
        </w:rPr>
        <w:t>Чечеульский</w:t>
      </w:r>
      <w:proofErr w:type="spellEnd"/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7500AE" w:rsidRPr="006544F6" w:rsidRDefault="007500AE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AE" w:rsidRDefault="007500AE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Учебный план МБДОУ «</w:t>
      </w:r>
      <w:proofErr w:type="spellStart"/>
      <w:r w:rsidRPr="006544F6">
        <w:rPr>
          <w:rFonts w:ascii="Times New Roman" w:hAnsi="Times New Roman" w:cs="Times New Roman"/>
          <w:sz w:val="28"/>
          <w:szCs w:val="28"/>
          <w:lang w:eastAsia="ru-RU"/>
        </w:rPr>
        <w:t>Чечеульский</w:t>
      </w:r>
      <w:proofErr w:type="spellEnd"/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является нормативным документом, устанавливающим перечень образовательных областей и объём учебного времени, отводимого на проведение организационной образовательной деятельности.</w:t>
      </w:r>
    </w:p>
    <w:p w:rsidR="00B52300" w:rsidRDefault="00B52300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начанается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2 сентября 2019 года и заканчивается 29 мая 2020 года. Детский сад работает в режиме пятидневной рабочей недели.</w:t>
      </w:r>
    </w:p>
    <w:p w:rsidR="00B52300" w:rsidRDefault="00B52300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 – 2020 учебном году в ДОУ функционирует 7 общеобразовательных групп, укомплектованных в соответствии с возрастными нормами:</w:t>
      </w:r>
    </w:p>
    <w:p w:rsidR="00B52300" w:rsidRDefault="00B52300" w:rsidP="00B523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младшая группа (2-3 группа)</w:t>
      </w:r>
    </w:p>
    <w:p w:rsidR="00B52300" w:rsidRDefault="00B52300" w:rsidP="00B523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Вторая младшая группа (3-4 года)</w:t>
      </w:r>
    </w:p>
    <w:p w:rsidR="00B52300" w:rsidRDefault="00B52300" w:rsidP="00B523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 (4-5 лет)</w:t>
      </w:r>
    </w:p>
    <w:p w:rsidR="00B52300" w:rsidRDefault="00B52300" w:rsidP="00B523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старшая группа (5-6 лет)</w:t>
      </w:r>
    </w:p>
    <w:p w:rsidR="00B52300" w:rsidRDefault="00B52300" w:rsidP="00B523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Вторая старшая группа </w:t>
      </w:r>
      <w:r w:rsidR="00EE101A">
        <w:rPr>
          <w:rFonts w:ascii="Times New Roman" w:hAnsi="Times New Roman" w:cs="Times New Roman"/>
          <w:sz w:val="28"/>
          <w:szCs w:val="28"/>
          <w:lang w:eastAsia="ru-RU"/>
        </w:rPr>
        <w:t>(5-6 лет)</w:t>
      </w:r>
    </w:p>
    <w:p w:rsidR="00EE101A" w:rsidRDefault="00EE101A" w:rsidP="00B523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Разновозрастная группа (4-7 лет)</w:t>
      </w:r>
    </w:p>
    <w:p w:rsidR="00EE101A" w:rsidRPr="006544F6" w:rsidRDefault="00EE101A" w:rsidP="00B523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 (6-7 лет)</w:t>
      </w:r>
    </w:p>
    <w:p w:rsidR="007500AE" w:rsidRPr="006544F6" w:rsidRDefault="007500AE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0AE" w:rsidRPr="006544F6" w:rsidRDefault="007500AE" w:rsidP="007500AE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Программно – целевые основания, положенные в основу учебного плана.</w:t>
      </w:r>
    </w:p>
    <w:p w:rsidR="007500AE" w:rsidRPr="006544F6" w:rsidRDefault="007500AE" w:rsidP="007500AE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63D5" w:rsidRPr="006544F6" w:rsidRDefault="00026908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соответствует Основной образовательной программе ДОУ. </w:t>
      </w:r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t>Коллектив дошкольного образовате</w:t>
      </w:r>
      <w:r w:rsidR="007A37E0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льного учреждения с 01.09.2012 </w:t>
      </w:r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реализует основную общеобразовательную программу дошкольного образования «От рождения до школы» под редакцией Н.Е.</w:t>
      </w:r>
      <w:r w:rsidR="007500AE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5463D5" w:rsidRPr="006544F6">
        <w:rPr>
          <w:rFonts w:ascii="Times New Roman" w:hAnsi="Times New Roman" w:cs="Times New Roman"/>
          <w:sz w:val="28"/>
          <w:szCs w:val="28"/>
          <w:lang w:eastAsia="ru-RU"/>
        </w:rPr>
        <w:t>, М.А.Васильевой, Т.С. Комаровой.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Учебный план определяет организацию воспитате</w:t>
      </w:r>
      <w:r w:rsidR="007500AE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льно-образовательного процесса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 учреждении и структуру основной общеобразовательной программы дошкольного образования, реализуемой в ДОУ.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Программа состоит из двух частей: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1) инвариантной (обязательной) части;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2) вариативной части.</w:t>
      </w:r>
    </w:p>
    <w:p w:rsidR="005463D5" w:rsidRPr="006544F6" w:rsidRDefault="005463D5" w:rsidP="007500A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5463D5" w:rsidRPr="006544F6" w:rsidRDefault="005463D5" w:rsidP="002A02E2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воспитательно-образовательного процесса</w:t>
      </w:r>
      <w:r w:rsidR="007500AE" w:rsidRPr="0065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совокупность образовательных областей: «Социально-коммуникативное развитие», Познавательное развитие», «Речевое развитие», «Художественно-эстетическое развитие», «Физическое развитие», которые обеспечивают разностороннее развитие детей с учетом их возрастных и индивидуальных особенностей.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различные формы работы с детьми организуются утром и во вторую половину дня (как по </w:t>
      </w:r>
      <w:proofErr w:type="spellStart"/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инвариативной</w:t>
      </w:r>
      <w:proofErr w:type="spellEnd"/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вариативной частям учебного плана). В первой половине дня в младших группах планируются не более двух интеллектуальных форм, в группах старшего дошкольного возраста – не более трех.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детей старшего дошкольного возраста непосредственно образовательная деятельность во второй половине дня планируются не чаще 2-х–3-х раз в неделю.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развитию музыкальности и физической культуре проводятся со всей группой (по условиям ДОУ).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НОД и их продолжительность, время проведения соответствуют требованиям </w:t>
      </w:r>
      <w:proofErr w:type="spellStart"/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5463D5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2A02E2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</w:t>
      </w:r>
      <w:r w:rsidR="002A02E2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(количество часов в неделю) 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возрастных группах, реализующих основную общеобразовательную программу, </w:t>
      </w:r>
      <w:r w:rsidR="002A02E2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на основе содержания 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общеобразовательной программы дошкольного образ</w:t>
      </w:r>
      <w:r w:rsidR="006544F6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«От рождения до школы», п</w:t>
      </w:r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Н.Е. </w:t>
      </w:r>
      <w:proofErr w:type="spellStart"/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 (в общеобразовательных группах). Программой Т.Б. Филичевой, Г.В. Чиркиной, Т.В. Тумановой, С.А. Мироновой, А.В. Лагутиной «Коррекция нарушений речи» и «Программой коррекционно-развивающей работы в логопедической группе детского сада для детей с общим недоразвитием речи (с 4 до 7 лет)» Н.В. </w:t>
      </w:r>
      <w:proofErr w:type="spellStart"/>
      <w:r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</w:t>
      </w:r>
      <w:r w:rsidR="007A37E0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</w:t>
      </w:r>
      <w:proofErr w:type="spellEnd"/>
      <w:r w:rsidR="007A37E0" w:rsidRPr="00654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79" w:rsidRPr="006544F6" w:rsidRDefault="005463D5" w:rsidP="002A02E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</w:t>
      </w:r>
      <w:r w:rsidR="002A02E2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готовку их к обучению в школе,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434379" w:rsidRPr="006544F6" w:rsidRDefault="002A02E2" w:rsidP="002A02E2">
      <w:pPr>
        <w:pStyle w:val="a9"/>
        <w:numPr>
          <w:ilvl w:val="1"/>
          <w:numId w:val="6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379" w:rsidRPr="006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 при работе по пятидневной неделе.</w:t>
      </w:r>
    </w:p>
    <w:p w:rsidR="00434379" w:rsidRPr="006544F6" w:rsidRDefault="00434379" w:rsidP="002A02E2">
      <w:pPr>
        <w:pStyle w:val="a9"/>
        <w:numPr>
          <w:ilvl w:val="2"/>
          <w:numId w:val="6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деятельности.</w:t>
      </w:r>
    </w:p>
    <w:tbl>
      <w:tblPr>
        <w:tblStyle w:val="aa"/>
        <w:tblW w:w="9606" w:type="dxa"/>
        <w:tblLayout w:type="fixed"/>
        <w:tblLook w:val="04A0"/>
      </w:tblPr>
      <w:tblGrid>
        <w:gridCol w:w="2660"/>
        <w:gridCol w:w="1134"/>
        <w:gridCol w:w="1276"/>
        <w:gridCol w:w="1121"/>
        <w:gridCol w:w="1147"/>
        <w:gridCol w:w="1134"/>
        <w:gridCol w:w="1134"/>
      </w:tblGrid>
      <w:tr w:rsidR="00B67577" w:rsidRPr="006544F6" w:rsidTr="00215A48">
        <w:trPr>
          <w:trHeight w:val="435"/>
        </w:trPr>
        <w:tc>
          <w:tcPr>
            <w:tcW w:w="2660" w:type="dxa"/>
            <w:vMerge w:val="restart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6946" w:type="dxa"/>
            <w:gridSpan w:val="6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B67577" w:rsidRPr="006544F6" w:rsidTr="00215A48">
        <w:trPr>
          <w:trHeight w:val="420"/>
        </w:trPr>
        <w:tc>
          <w:tcPr>
            <w:tcW w:w="2660" w:type="dxa"/>
            <w:vMerge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младшая (2-3 года)</w:t>
            </w:r>
          </w:p>
        </w:tc>
        <w:tc>
          <w:tcPr>
            <w:tcW w:w="1276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вторая младшая группа (3-4 года)</w:t>
            </w:r>
          </w:p>
        </w:tc>
        <w:tc>
          <w:tcPr>
            <w:tcW w:w="1121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средняя группа (4-5 лет)</w:t>
            </w:r>
          </w:p>
        </w:tc>
        <w:tc>
          <w:tcPr>
            <w:tcW w:w="1147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(5-6 лет)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 (6-7 лет)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разновозрастная группа (5-7 лет)</w:t>
            </w:r>
          </w:p>
        </w:tc>
      </w:tr>
      <w:tr w:rsidR="00B67577" w:rsidRPr="006544F6" w:rsidTr="00215A48">
        <w:tc>
          <w:tcPr>
            <w:tcW w:w="2660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7577" w:rsidRPr="006544F6" w:rsidTr="00215A48">
        <w:tc>
          <w:tcPr>
            <w:tcW w:w="2660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на прогулке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67577" w:rsidRPr="006544F6" w:rsidRDefault="00B67577" w:rsidP="00B675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7577" w:rsidRPr="006544F6" w:rsidTr="00215A48">
        <w:tc>
          <w:tcPr>
            <w:tcW w:w="2660" w:type="dxa"/>
          </w:tcPr>
          <w:p w:rsidR="00B67577" w:rsidRPr="006544F6" w:rsidRDefault="00B67577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B67577" w:rsidRPr="006544F6" w:rsidRDefault="00323FCB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элементарных </w:t>
            </w: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математических представлений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7577" w:rsidRPr="006544F6" w:rsidTr="00215A48">
        <w:tc>
          <w:tcPr>
            <w:tcW w:w="2660" w:type="dxa"/>
          </w:tcPr>
          <w:p w:rsidR="00B67577" w:rsidRPr="006544F6" w:rsidRDefault="00323FCB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 – исследовательская и продуктивная (конструктивная) деятельность.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1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7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7577" w:rsidRPr="006544F6" w:rsidTr="00215A48">
        <w:tc>
          <w:tcPr>
            <w:tcW w:w="2660" w:type="dxa"/>
          </w:tcPr>
          <w:p w:rsidR="00B67577" w:rsidRPr="006544F6" w:rsidRDefault="00323FCB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7577" w:rsidRPr="006544F6" w:rsidTr="00215A48">
        <w:tc>
          <w:tcPr>
            <w:tcW w:w="2660" w:type="dxa"/>
          </w:tcPr>
          <w:p w:rsidR="00B67577" w:rsidRPr="006544F6" w:rsidRDefault="00323FCB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  <w:p w:rsidR="006820F4" w:rsidRPr="006544F6" w:rsidRDefault="006820F4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67577" w:rsidRPr="006544F6" w:rsidRDefault="00323FCB" w:rsidP="00323F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7577" w:rsidRPr="006544F6" w:rsidTr="00215A48">
        <w:tc>
          <w:tcPr>
            <w:tcW w:w="2660" w:type="dxa"/>
          </w:tcPr>
          <w:p w:rsidR="00B67577" w:rsidRPr="006544F6" w:rsidRDefault="006820F4" w:rsidP="00B6757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6820F4" w:rsidRPr="006544F6" w:rsidRDefault="006820F4" w:rsidP="00B6757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134" w:type="dxa"/>
          </w:tcPr>
          <w:p w:rsidR="00B67577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67577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</w:tcPr>
          <w:p w:rsidR="00B67577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B67577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67577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67577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3FCB" w:rsidRPr="006544F6" w:rsidTr="00215A48">
        <w:tc>
          <w:tcPr>
            <w:tcW w:w="2660" w:type="dxa"/>
          </w:tcPr>
          <w:p w:rsidR="00323FCB" w:rsidRPr="006544F6" w:rsidRDefault="006820F4" w:rsidP="00101A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</w:tc>
        <w:tc>
          <w:tcPr>
            <w:tcW w:w="1134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276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21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47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34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34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</w:tr>
      <w:tr w:rsidR="00323FCB" w:rsidRPr="006544F6" w:rsidTr="00215A48">
        <w:tc>
          <w:tcPr>
            <w:tcW w:w="2660" w:type="dxa"/>
          </w:tcPr>
          <w:p w:rsidR="00323FCB" w:rsidRPr="006544F6" w:rsidRDefault="006820F4" w:rsidP="00101A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134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276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21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47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34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  <w:tc>
          <w:tcPr>
            <w:tcW w:w="1134" w:type="dxa"/>
          </w:tcPr>
          <w:p w:rsidR="006820F4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323FCB" w:rsidRPr="006544F6" w:rsidRDefault="006820F4" w:rsidP="006820F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две недели)</w:t>
            </w:r>
          </w:p>
        </w:tc>
      </w:tr>
      <w:tr w:rsidR="00323FCB" w:rsidRPr="006544F6" w:rsidTr="00215A48">
        <w:tc>
          <w:tcPr>
            <w:tcW w:w="2660" w:type="dxa"/>
          </w:tcPr>
          <w:p w:rsidR="00323FCB" w:rsidRPr="006544F6" w:rsidRDefault="006820F4" w:rsidP="00101AD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3FCB" w:rsidRPr="006544F6" w:rsidTr="00215A48">
        <w:tc>
          <w:tcPr>
            <w:tcW w:w="2660" w:type="dxa"/>
          </w:tcPr>
          <w:p w:rsidR="00323FCB" w:rsidRPr="006544F6" w:rsidRDefault="006820F4" w:rsidP="00101AD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1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7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323FCB" w:rsidRPr="006544F6" w:rsidRDefault="006820F4" w:rsidP="006820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215A48" w:rsidRPr="006544F6" w:rsidRDefault="00215A48" w:rsidP="00215A48">
      <w:pPr>
        <w:pStyle w:val="a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379" w:rsidRPr="006544F6" w:rsidRDefault="00434379" w:rsidP="00215A48">
      <w:pPr>
        <w:pStyle w:val="a9"/>
        <w:numPr>
          <w:ilvl w:val="2"/>
          <w:numId w:val="6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режимные моменты.</w:t>
      </w:r>
    </w:p>
    <w:tbl>
      <w:tblPr>
        <w:tblStyle w:val="aa"/>
        <w:tblW w:w="0" w:type="auto"/>
        <w:tblLayout w:type="fixed"/>
        <w:tblLook w:val="04A0"/>
      </w:tblPr>
      <w:tblGrid>
        <w:gridCol w:w="2660"/>
        <w:gridCol w:w="1134"/>
        <w:gridCol w:w="1276"/>
        <w:gridCol w:w="1134"/>
        <w:gridCol w:w="1134"/>
        <w:gridCol w:w="1134"/>
        <w:gridCol w:w="1099"/>
      </w:tblGrid>
      <w:tr w:rsidR="00215A48" w:rsidRPr="006544F6" w:rsidTr="00215A48">
        <w:trPr>
          <w:trHeight w:val="345"/>
        </w:trPr>
        <w:tc>
          <w:tcPr>
            <w:tcW w:w="2660" w:type="dxa"/>
            <w:vMerge w:val="restart"/>
          </w:tcPr>
          <w:p w:rsidR="00215A48" w:rsidRPr="006544F6" w:rsidRDefault="00215A48" w:rsidP="00215A4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215A48" w:rsidRPr="006544F6" w:rsidTr="00215A48">
        <w:trPr>
          <w:trHeight w:val="270"/>
        </w:trPr>
        <w:tc>
          <w:tcPr>
            <w:tcW w:w="2660" w:type="dxa"/>
            <w:vMerge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младшая (2-3 года)</w:t>
            </w:r>
          </w:p>
        </w:tc>
        <w:tc>
          <w:tcPr>
            <w:tcW w:w="1276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вторая младшая группа (3-4 года)</w:t>
            </w:r>
          </w:p>
        </w:tc>
        <w:tc>
          <w:tcPr>
            <w:tcW w:w="1134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средняя группа (4-5 лет)</w:t>
            </w:r>
          </w:p>
        </w:tc>
        <w:tc>
          <w:tcPr>
            <w:tcW w:w="1134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старшая группа (5-6 лет)</w:t>
            </w:r>
          </w:p>
        </w:tc>
        <w:tc>
          <w:tcPr>
            <w:tcW w:w="1134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 (6-7 лет)</w:t>
            </w:r>
          </w:p>
        </w:tc>
        <w:tc>
          <w:tcPr>
            <w:tcW w:w="1099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разновозрастная группа (5-7 лет)</w:t>
            </w:r>
          </w:p>
        </w:tc>
      </w:tr>
      <w:tr w:rsidR="00215A48" w:rsidRPr="006544F6" w:rsidTr="00B25B11">
        <w:tc>
          <w:tcPr>
            <w:tcW w:w="2660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215A48" w:rsidRPr="006544F6" w:rsidTr="00282933">
        <w:tc>
          <w:tcPr>
            <w:tcW w:w="2660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процедур.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215A48" w:rsidRPr="006544F6" w:rsidTr="00755FF3">
        <w:tc>
          <w:tcPr>
            <w:tcW w:w="2660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Гимнастические процедуры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215A48" w:rsidRPr="006544F6" w:rsidTr="00EB69A6">
        <w:tc>
          <w:tcPr>
            <w:tcW w:w="2660" w:type="dxa"/>
          </w:tcPr>
          <w:p w:rsidR="00215A48" w:rsidRPr="006544F6" w:rsidRDefault="00215A48" w:rsidP="00215A4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Ситуативные </w:t>
            </w: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при проведении режимных моментов.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Ежедневно.</w:t>
            </w:r>
          </w:p>
        </w:tc>
      </w:tr>
      <w:tr w:rsidR="00215A48" w:rsidRPr="006544F6" w:rsidTr="006B540B">
        <w:tc>
          <w:tcPr>
            <w:tcW w:w="2660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215A48" w:rsidRPr="006544F6" w:rsidTr="00CE050E">
        <w:tc>
          <w:tcPr>
            <w:tcW w:w="2660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Дежурство</w:t>
            </w:r>
          </w:p>
        </w:tc>
        <w:tc>
          <w:tcPr>
            <w:tcW w:w="1134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gridSpan w:val="4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215A48" w:rsidRPr="006544F6" w:rsidTr="00951D3A">
        <w:tc>
          <w:tcPr>
            <w:tcW w:w="2660" w:type="dxa"/>
          </w:tcPr>
          <w:p w:rsidR="00215A48" w:rsidRPr="006544F6" w:rsidRDefault="00215A48" w:rsidP="00434379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215A48" w:rsidRPr="006544F6" w:rsidTr="00C457C9">
        <w:tc>
          <w:tcPr>
            <w:tcW w:w="2660" w:type="dxa"/>
          </w:tcPr>
          <w:p w:rsidR="00215A48" w:rsidRPr="006544F6" w:rsidRDefault="00215A48" w:rsidP="00101AD3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  <w:tr w:rsidR="00215A48" w:rsidRPr="006544F6" w:rsidTr="00AF2F27">
        <w:tc>
          <w:tcPr>
            <w:tcW w:w="2660" w:type="dxa"/>
          </w:tcPr>
          <w:p w:rsidR="00215A48" w:rsidRPr="006544F6" w:rsidRDefault="00215A48" w:rsidP="00101AD3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6911" w:type="dxa"/>
            <w:gridSpan w:val="6"/>
          </w:tcPr>
          <w:p w:rsidR="00215A48" w:rsidRPr="006544F6" w:rsidRDefault="00215A48" w:rsidP="00215A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Ежедневно.</w:t>
            </w:r>
          </w:p>
        </w:tc>
      </w:tr>
    </w:tbl>
    <w:p w:rsidR="00501628" w:rsidRPr="006544F6" w:rsidRDefault="00501628" w:rsidP="0050162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основных видов организованной образовательной деятельности соответствует действующему </w:t>
      </w:r>
      <w:proofErr w:type="spellStart"/>
      <w:r w:rsidRPr="006544F6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2.4.1.3049-13: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3-го года жизни - не более 10 мин.,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4-го года жизни - не более 15 мин.,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5-го года жизни - не более 20 мин.,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6-го года жизни - не более 25 мин.,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7-го года жизни - не более 30 мин.,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5-го года жизни (логопедическая группа) – не более 20 мин.,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6-го года жизни (логопедическая группа) - не более 25 мин.,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для детей 7-го года жизни (логопедическая группа) - не более 30 мин.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 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Для детей 3-4 и 4-5 лет длительность чтения, с обсуждением прочитанного составляет 10-15 минут, для детей 5-6 лет – 15-20 минут, для детей 6-7 лет – 20-25 минут.</w:t>
      </w:r>
    </w:p>
    <w:p w:rsidR="00501628" w:rsidRPr="006544F6" w:rsidRDefault="0042054F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Вариативная часть программы</w:t>
      </w:r>
      <w:r w:rsidR="00501628"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включает</w:t>
      </w:r>
      <w:r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совместную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дополнительную образовательную (кружковую) деятельность в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оспитателя и детей. Содержание 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>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среднего дошкольного возраста, в старших группах и в подготовительной к школе группе – 2 условных часа.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день делится на 3 блока: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образовательный блок 1 половины дня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совместную деятельность воспитателя и детей;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непосредственно образовательная деятельность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– организованное обучение (в соответствии с сеткой занятий)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образовательный блок 2 половины дня</w:t>
      </w:r>
      <w:r w:rsidR="0042054F"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индивидуальную коррекционную работу;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ребенка.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01628" w:rsidRPr="006544F6" w:rsidRDefault="00501628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501628" w:rsidRPr="006544F6" w:rsidRDefault="0042054F" w:rsidP="0042054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 течение двух недель в сентябре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(до образовательной работы) и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апреле - </w:t>
      </w:r>
      <w:r w:rsidR="00501628" w:rsidRPr="006544F6">
        <w:rPr>
          <w:rFonts w:ascii="Times New Roman" w:hAnsi="Times New Roman" w:cs="Times New Roman"/>
          <w:sz w:val="28"/>
          <w:szCs w:val="28"/>
          <w:lang w:eastAsia="ru-RU"/>
        </w:rPr>
        <w:t>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501628" w:rsidRPr="006544F6" w:rsidRDefault="00501628" w:rsidP="006544F6">
      <w:pPr>
        <w:pStyle w:val="ab"/>
        <w:jc w:val="both"/>
        <w:rPr>
          <w:sz w:val="28"/>
          <w:szCs w:val="28"/>
          <w:lang w:eastAsia="ru-RU"/>
        </w:rPr>
        <w:sectPr w:rsidR="00501628" w:rsidRPr="006544F6" w:rsidSect="0042054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544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соответствии с базовой программой</w:t>
      </w:r>
      <w:r w:rsidR="0042054F" w:rsidRPr="00654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4F6">
        <w:rPr>
          <w:rFonts w:ascii="Times New Roman" w:hAnsi="Times New Roman" w:cs="Times New Roman"/>
          <w:sz w:val="28"/>
          <w:szCs w:val="28"/>
          <w:lang w:eastAsia="ru-RU"/>
        </w:rPr>
        <w:t>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</w:t>
      </w:r>
      <w:r w:rsidR="006544F6">
        <w:rPr>
          <w:rFonts w:ascii="Times New Roman" w:hAnsi="Times New Roman" w:cs="Times New Roman"/>
          <w:sz w:val="28"/>
          <w:szCs w:val="28"/>
          <w:lang w:eastAsia="ru-RU"/>
        </w:rPr>
        <w:t>ения.</w:t>
      </w:r>
    </w:p>
    <w:p w:rsidR="002A49B8" w:rsidRDefault="002A49B8" w:rsidP="002A49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A49B8" w:rsidSect="008451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3095" w:rsidRDefault="00A431DB" w:rsidP="0086750F">
      <w:pPr>
        <w:jc w:val="both"/>
      </w:pPr>
    </w:p>
    <w:sectPr w:rsidR="002B3095" w:rsidSect="00434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DB" w:rsidRDefault="00A431DB" w:rsidP="0042054F">
      <w:pPr>
        <w:spacing w:after="0" w:line="240" w:lineRule="auto"/>
      </w:pPr>
      <w:r>
        <w:separator/>
      </w:r>
    </w:p>
  </w:endnote>
  <w:endnote w:type="continuationSeparator" w:id="0">
    <w:p w:rsidR="00A431DB" w:rsidRDefault="00A431DB" w:rsidP="0042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954"/>
      <w:docPartObj>
        <w:docPartGallery w:val="Page Numbers (Bottom of Page)"/>
        <w:docPartUnique/>
      </w:docPartObj>
    </w:sdtPr>
    <w:sdtContent>
      <w:p w:rsidR="0042054F" w:rsidRDefault="0071503F">
        <w:pPr>
          <w:pStyle w:val="ae"/>
          <w:jc w:val="right"/>
        </w:pPr>
        <w:fldSimple w:instr=" PAGE   \* MERGEFORMAT ">
          <w:r w:rsidR="001A2A50">
            <w:rPr>
              <w:noProof/>
            </w:rPr>
            <w:t>2</w:t>
          </w:r>
        </w:fldSimple>
      </w:p>
    </w:sdtContent>
  </w:sdt>
  <w:p w:rsidR="0042054F" w:rsidRDefault="004205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DB" w:rsidRDefault="00A431DB" w:rsidP="0042054F">
      <w:pPr>
        <w:spacing w:after="0" w:line="240" w:lineRule="auto"/>
      </w:pPr>
      <w:r>
        <w:separator/>
      </w:r>
    </w:p>
  </w:footnote>
  <w:footnote w:type="continuationSeparator" w:id="0">
    <w:p w:rsidR="00A431DB" w:rsidRDefault="00A431DB" w:rsidP="0042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B5F"/>
    <w:multiLevelType w:val="hybridMultilevel"/>
    <w:tmpl w:val="E80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50E3"/>
    <w:multiLevelType w:val="multilevel"/>
    <w:tmpl w:val="6B2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06A8"/>
    <w:multiLevelType w:val="multilevel"/>
    <w:tmpl w:val="29FC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84E1377"/>
    <w:multiLevelType w:val="hybridMultilevel"/>
    <w:tmpl w:val="D1E4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909"/>
    <w:multiLevelType w:val="multilevel"/>
    <w:tmpl w:val="AA5C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635CE1"/>
    <w:multiLevelType w:val="multilevel"/>
    <w:tmpl w:val="EDE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810E2"/>
    <w:multiLevelType w:val="multilevel"/>
    <w:tmpl w:val="D00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D5"/>
    <w:rsid w:val="000225C3"/>
    <w:rsid w:val="00026908"/>
    <w:rsid w:val="00031425"/>
    <w:rsid w:val="000F2582"/>
    <w:rsid w:val="001048D0"/>
    <w:rsid w:val="00172C7E"/>
    <w:rsid w:val="001A2A50"/>
    <w:rsid w:val="001A2D38"/>
    <w:rsid w:val="001A44AD"/>
    <w:rsid w:val="001B6FDE"/>
    <w:rsid w:val="00215A48"/>
    <w:rsid w:val="00231A54"/>
    <w:rsid w:val="002A02E2"/>
    <w:rsid w:val="002A49B8"/>
    <w:rsid w:val="0031011D"/>
    <w:rsid w:val="00323FCB"/>
    <w:rsid w:val="003405E2"/>
    <w:rsid w:val="00346E6D"/>
    <w:rsid w:val="00395592"/>
    <w:rsid w:val="0042054F"/>
    <w:rsid w:val="00434379"/>
    <w:rsid w:val="004C4896"/>
    <w:rsid w:val="004F495C"/>
    <w:rsid w:val="00501628"/>
    <w:rsid w:val="005463D5"/>
    <w:rsid w:val="00566896"/>
    <w:rsid w:val="006278A5"/>
    <w:rsid w:val="006544F6"/>
    <w:rsid w:val="006820F4"/>
    <w:rsid w:val="0071503F"/>
    <w:rsid w:val="007500AE"/>
    <w:rsid w:val="007A37E0"/>
    <w:rsid w:val="007C0B42"/>
    <w:rsid w:val="007E367D"/>
    <w:rsid w:val="007F461C"/>
    <w:rsid w:val="00831FE7"/>
    <w:rsid w:val="008451A9"/>
    <w:rsid w:val="0086750F"/>
    <w:rsid w:val="008C0612"/>
    <w:rsid w:val="008E4C08"/>
    <w:rsid w:val="009330EE"/>
    <w:rsid w:val="009D36A4"/>
    <w:rsid w:val="009F0DAB"/>
    <w:rsid w:val="00A164A1"/>
    <w:rsid w:val="00A35FED"/>
    <w:rsid w:val="00A431DB"/>
    <w:rsid w:val="00A72E82"/>
    <w:rsid w:val="00A86325"/>
    <w:rsid w:val="00AB08E3"/>
    <w:rsid w:val="00B52300"/>
    <w:rsid w:val="00B5253D"/>
    <w:rsid w:val="00B67577"/>
    <w:rsid w:val="00C32E50"/>
    <w:rsid w:val="00C534B0"/>
    <w:rsid w:val="00CD40FD"/>
    <w:rsid w:val="00DF3892"/>
    <w:rsid w:val="00E24B77"/>
    <w:rsid w:val="00E76CC1"/>
    <w:rsid w:val="00EA18FB"/>
    <w:rsid w:val="00EB0A0B"/>
    <w:rsid w:val="00E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C"/>
  </w:style>
  <w:style w:type="paragraph" w:styleId="1">
    <w:name w:val="heading 1"/>
    <w:basedOn w:val="a"/>
    <w:link w:val="10"/>
    <w:uiPriority w:val="9"/>
    <w:qFormat/>
    <w:rsid w:val="0054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6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3D5"/>
    <w:rPr>
      <w:b/>
      <w:bCs/>
    </w:rPr>
  </w:style>
  <w:style w:type="character" w:styleId="a6">
    <w:name w:val="Emphasis"/>
    <w:basedOn w:val="a0"/>
    <w:uiPriority w:val="20"/>
    <w:qFormat/>
    <w:rsid w:val="005463D5"/>
    <w:rPr>
      <w:i/>
      <w:iCs/>
    </w:rPr>
  </w:style>
  <w:style w:type="character" w:customStyle="1" w:styleId="apple-converted-space">
    <w:name w:val="apple-converted-space"/>
    <w:basedOn w:val="a0"/>
    <w:rsid w:val="005463D5"/>
  </w:style>
  <w:style w:type="paragraph" w:styleId="a7">
    <w:name w:val="Balloon Text"/>
    <w:basedOn w:val="a"/>
    <w:link w:val="a8"/>
    <w:uiPriority w:val="99"/>
    <w:semiHidden/>
    <w:unhideWhenUsed/>
    <w:rsid w:val="005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750F"/>
    <w:pPr>
      <w:ind w:left="720"/>
      <w:contextualSpacing/>
    </w:pPr>
  </w:style>
  <w:style w:type="table" w:styleId="aa">
    <w:name w:val="Table Grid"/>
    <w:basedOn w:val="a1"/>
    <w:uiPriority w:val="59"/>
    <w:rsid w:val="0083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31FE7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42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054F"/>
  </w:style>
  <w:style w:type="paragraph" w:styleId="ae">
    <w:name w:val="footer"/>
    <w:basedOn w:val="a"/>
    <w:link w:val="af"/>
    <w:uiPriority w:val="99"/>
    <w:unhideWhenUsed/>
    <w:rsid w:val="0042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F879-4E62-4664-B98D-7E12EFEC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2020-02-10T08:59:00Z</cp:lastPrinted>
  <dcterms:created xsi:type="dcterms:W3CDTF">2018-02-02T03:50:00Z</dcterms:created>
  <dcterms:modified xsi:type="dcterms:W3CDTF">2020-04-28T02:43:00Z</dcterms:modified>
</cp:coreProperties>
</file>